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CERRONE GABRIELE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14-15 CONDUIT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W1S2XJ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Tiziana Life Sciences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6"/>
        <w:gridCol w:w="899"/>
        <w:gridCol w:w="771"/>
        <w:gridCol w:w="597"/>
        <w:gridCol w:w="340"/>
        <w:gridCol w:w="908"/>
        <w:gridCol w:w="432"/>
        <w:gridCol w:w="651"/>
        <w:gridCol w:w="1338"/>
        <w:gridCol w:w="968"/>
        <w:gridCol w:w="9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1.11</w:t>
            </w:r>
          </w:p>
        </w:tc>
        <w:tc>
          <w:tcPr>
            <w:tcW w:w="1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44,772,230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Via Panetta Partners Limited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4/A amends the Form 4 filed on June 17, 2026 solely to correct the transaction code associated with this open market purchase. No other reported transactions are affected by this amendment.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Gabriele M. Cerrone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39306" TargetMode="External"/><Relationship Id="rId5" Type="http://schemas.openxmlformats.org/officeDocument/2006/relationships/hyperlink" Target="http://www.sec.gov/cgi-bin/browse-edgar?action=getcompany&amp;CIK=0001723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3272</Characters>
  <CharactersWithSpaces>3805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